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B8" w:rsidRPr="00D52F37" w:rsidRDefault="00E343B8" w:rsidP="00726BF8">
      <w:pPr>
        <w:rPr>
          <w:rFonts w:ascii="Palatino Linotype" w:hAnsi="Palatino Linotype"/>
          <w:b/>
          <w:bCs/>
          <w:sz w:val="24"/>
          <w:szCs w:val="24"/>
        </w:rPr>
      </w:pPr>
      <w:r w:rsidRPr="00D52F37">
        <w:rPr>
          <w:rFonts w:ascii="Palatino Linotype" w:hAnsi="Palatino Linotype"/>
          <w:b/>
          <w:bCs/>
          <w:sz w:val="24"/>
          <w:szCs w:val="24"/>
        </w:rPr>
        <w:t>Rutiner för dekanens beslutsmöten vid fakulteten för humanvetenskap</w:t>
      </w:r>
    </w:p>
    <w:p w:rsidR="00D52F37" w:rsidRDefault="00D52F37" w:rsidP="00D52F37">
      <w:pPr>
        <w:pStyle w:val="Normalwebb"/>
        <w:spacing w:before="0" w:beforeAutospacing="0" w:after="0" w:afterAutospacing="0"/>
        <w:jc w:val="both"/>
        <w:rPr>
          <w:rFonts w:ascii="Palatino Linotype" w:hAnsi="Palatino Linotype"/>
          <w:sz w:val="22"/>
          <w:szCs w:val="22"/>
        </w:rPr>
      </w:pPr>
      <w:r>
        <w:rPr>
          <w:rFonts w:ascii="Palatino Linotype" w:hAnsi="Palatino Linotype"/>
          <w:sz w:val="22"/>
          <w:szCs w:val="22"/>
        </w:rPr>
        <w:t>I H</w:t>
      </w:r>
      <w:r w:rsidR="00F62634">
        <w:rPr>
          <w:rFonts w:ascii="Palatino Linotype" w:hAnsi="Palatino Linotype"/>
          <w:sz w:val="22"/>
          <w:szCs w:val="22"/>
        </w:rPr>
        <w:t>L</w:t>
      </w:r>
      <w:r>
        <w:rPr>
          <w:rFonts w:ascii="Palatino Linotype" w:hAnsi="Palatino Linotype"/>
          <w:sz w:val="22"/>
          <w:szCs w:val="22"/>
        </w:rPr>
        <w:t xml:space="preserve"> och H</w:t>
      </w:r>
      <w:r w:rsidR="00F62634">
        <w:rPr>
          <w:rFonts w:ascii="Palatino Linotype" w:hAnsi="Palatino Linotype"/>
          <w:sz w:val="22"/>
          <w:szCs w:val="22"/>
        </w:rPr>
        <w:t>F</w:t>
      </w:r>
      <w:r>
        <w:rPr>
          <w:rFonts w:ascii="Palatino Linotype" w:hAnsi="Palatino Linotype"/>
          <w:sz w:val="22"/>
          <w:szCs w:val="22"/>
        </w:rPr>
        <w:t xml:space="preserve"> reglera</w:t>
      </w:r>
      <w:r w:rsidR="00F62634">
        <w:rPr>
          <w:rFonts w:ascii="Palatino Linotype" w:hAnsi="Palatino Linotype"/>
          <w:sz w:val="22"/>
          <w:szCs w:val="22"/>
        </w:rPr>
        <w:t>s</w:t>
      </w:r>
      <w:r>
        <w:rPr>
          <w:rFonts w:ascii="Palatino Linotype" w:hAnsi="Palatino Linotype"/>
          <w:sz w:val="22"/>
          <w:szCs w:val="22"/>
        </w:rPr>
        <w:t xml:space="preserve"> studenternas rätt till delaktighet </w:t>
      </w:r>
      <w:r w:rsidR="00F62634">
        <w:rPr>
          <w:rFonts w:ascii="Palatino Linotype" w:hAnsi="Palatino Linotype"/>
          <w:sz w:val="22"/>
          <w:szCs w:val="22"/>
        </w:rPr>
        <w:t xml:space="preserve">när </w:t>
      </w:r>
      <w:r>
        <w:rPr>
          <w:rFonts w:ascii="Palatino Linotype" w:hAnsi="Palatino Linotype"/>
          <w:sz w:val="22"/>
          <w:szCs w:val="22"/>
        </w:rPr>
        <w:t xml:space="preserve">beslut fattas. </w:t>
      </w:r>
    </w:p>
    <w:p w:rsidR="00D52F37" w:rsidRDefault="00D52F37" w:rsidP="00D52F37">
      <w:pPr>
        <w:pStyle w:val="Normalwebb"/>
        <w:spacing w:before="0" w:beforeAutospacing="0" w:after="0" w:afterAutospacing="0"/>
        <w:jc w:val="both"/>
        <w:rPr>
          <w:rFonts w:ascii="Palatino Linotype" w:hAnsi="Palatino Linotype"/>
          <w:sz w:val="22"/>
          <w:szCs w:val="22"/>
        </w:rPr>
      </w:pPr>
    </w:p>
    <w:p w:rsidR="00D52F37" w:rsidRPr="00D52F37" w:rsidRDefault="00D52F37" w:rsidP="00D52F37">
      <w:pPr>
        <w:pStyle w:val="Normalwebb"/>
        <w:spacing w:before="0" w:beforeAutospacing="0" w:after="0" w:afterAutospacing="0"/>
        <w:jc w:val="both"/>
        <w:rPr>
          <w:rFonts w:ascii="Palatino Linotype" w:hAnsi="Palatino Linotype"/>
          <w:b/>
          <w:sz w:val="22"/>
          <w:szCs w:val="22"/>
        </w:rPr>
      </w:pPr>
      <w:r w:rsidRPr="00D52F37">
        <w:rPr>
          <w:rFonts w:ascii="Palatino Linotype" w:hAnsi="Palatino Linotype"/>
          <w:b/>
          <w:sz w:val="22"/>
          <w:szCs w:val="22"/>
        </w:rPr>
        <w:t>Högskolelagen 2 kap. 6 §</w:t>
      </w:r>
    </w:p>
    <w:p w:rsidR="00D52F37" w:rsidRDefault="00D52F37" w:rsidP="00D52F37">
      <w:pPr>
        <w:pStyle w:val="Normalwebb"/>
        <w:spacing w:before="0" w:beforeAutospacing="0" w:after="0" w:afterAutospacing="0"/>
        <w:jc w:val="both"/>
        <w:rPr>
          <w:rFonts w:ascii="Palatino Linotype" w:hAnsi="Palatino Linotype"/>
          <w:sz w:val="22"/>
          <w:szCs w:val="22"/>
        </w:rPr>
      </w:pPr>
      <w:r w:rsidRPr="00D52F37">
        <w:rPr>
          <w:rFonts w:ascii="Palatino Linotype" w:hAnsi="Palatino Linotype"/>
          <w:sz w:val="22"/>
          <w:szCs w:val="22"/>
        </w:rPr>
        <w:t>Beslut ska fattas av personer med vetenskaplig eller konstnärlig kompetens, om besluten</w:t>
      </w:r>
    </w:p>
    <w:p w:rsidR="00D52F37" w:rsidRDefault="00D52F37" w:rsidP="00D52F37">
      <w:pPr>
        <w:pStyle w:val="Normalwebb"/>
        <w:spacing w:before="0" w:beforeAutospacing="0" w:after="0" w:afterAutospacing="0"/>
        <w:jc w:val="both"/>
        <w:rPr>
          <w:rFonts w:ascii="Palatino Linotype" w:hAnsi="Palatino Linotype"/>
          <w:sz w:val="22"/>
          <w:szCs w:val="22"/>
        </w:rPr>
      </w:pPr>
      <w:r w:rsidRPr="00D52F37">
        <w:rPr>
          <w:rFonts w:ascii="Palatino Linotype" w:hAnsi="Palatino Linotype"/>
          <w:sz w:val="22"/>
          <w:szCs w:val="22"/>
        </w:rPr>
        <w:t>kräver en bedömning av</w:t>
      </w:r>
    </w:p>
    <w:p w:rsidR="00D52F37" w:rsidRDefault="00D52F37" w:rsidP="00D52F37">
      <w:pPr>
        <w:pStyle w:val="Normalwebb"/>
        <w:numPr>
          <w:ilvl w:val="0"/>
          <w:numId w:val="2"/>
        </w:numPr>
        <w:spacing w:before="0" w:beforeAutospacing="0" w:after="0" w:afterAutospacing="0"/>
        <w:jc w:val="both"/>
        <w:rPr>
          <w:rFonts w:ascii="Palatino Linotype" w:hAnsi="Palatino Linotype"/>
          <w:sz w:val="22"/>
          <w:szCs w:val="22"/>
        </w:rPr>
      </w:pPr>
      <w:r w:rsidRPr="00D52F37">
        <w:rPr>
          <w:rFonts w:ascii="Palatino Linotype" w:hAnsi="Palatino Linotype"/>
          <w:sz w:val="22"/>
          <w:szCs w:val="22"/>
        </w:rPr>
        <w:t>uppläggning, genomförande av eller kvalitet i utbildningen, eller</w:t>
      </w:r>
    </w:p>
    <w:p w:rsidR="00D52F37" w:rsidRPr="00D52F37" w:rsidRDefault="00D52F37" w:rsidP="00D52F37">
      <w:pPr>
        <w:pStyle w:val="Normalwebb"/>
        <w:numPr>
          <w:ilvl w:val="0"/>
          <w:numId w:val="2"/>
        </w:numPr>
        <w:spacing w:before="0" w:beforeAutospacing="0" w:after="0" w:afterAutospacing="0"/>
        <w:jc w:val="both"/>
        <w:rPr>
          <w:rFonts w:ascii="Palatino Linotype" w:hAnsi="Palatino Linotype"/>
          <w:sz w:val="22"/>
          <w:szCs w:val="22"/>
        </w:rPr>
      </w:pPr>
      <w:r w:rsidRPr="00D52F37">
        <w:rPr>
          <w:rFonts w:ascii="Palatino Linotype" w:hAnsi="Palatino Linotype"/>
          <w:sz w:val="22"/>
          <w:szCs w:val="22"/>
        </w:rPr>
        <w:t>organisation av eller kvalitet i forskningen.</w:t>
      </w:r>
    </w:p>
    <w:p w:rsidR="00D52F37" w:rsidRPr="00D52F37" w:rsidRDefault="00D52F37" w:rsidP="00D52F37">
      <w:pPr>
        <w:pStyle w:val="Normalwebb"/>
        <w:spacing w:before="0" w:beforeAutospacing="0" w:after="0" w:afterAutospacing="0"/>
        <w:jc w:val="both"/>
        <w:rPr>
          <w:rFonts w:ascii="Palatino Linotype" w:hAnsi="Palatino Linotype"/>
          <w:sz w:val="22"/>
          <w:szCs w:val="22"/>
        </w:rPr>
      </w:pPr>
      <w:r w:rsidRPr="00D52F37">
        <w:rPr>
          <w:rFonts w:ascii="Palatino Linotype" w:hAnsi="Palatino Linotype"/>
          <w:sz w:val="22"/>
          <w:szCs w:val="22"/>
        </w:rPr>
        <w:t>Om den bedömning som avses i första stycket ska göras av en grupp av personer, ska majoriteten av personerna i gruppen ha vetenskaplig eller konstnärlig kompetens. Styrelsen får dock besluta att en sådan majoritet inte behövs om det finns särskilda skäl.</w:t>
      </w:r>
    </w:p>
    <w:p w:rsidR="002B5563" w:rsidRPr="00D52F37" w:rsidRDefault="002B5563" w:rsidP="00D52F37">
      <w:pPr>
        <w:jc w:val="both"/>
        <w:rPr>
          <w:rFonts w:ascii="Palatino Linotype" w:hAnsi="Palatino Linotype"/>
          <w:b/>
          <w:bCs/>
        </w:rPr>
      </w:pPr>
    </w:p>
    <w:p w:rsidR="00726BF8" w:rsidRPr="00D52F37" w:rsidRDefault="00726BF8" w:rsidP="00D52F37">
      <w:pPr>
        <w:jc w:val="both"/>
        <w:rPr>
          <w:rFonts w:ascii="Palatino Linotype" w:hAnsi="Palatino Linotype"/>
          <w:b/>
          <w:bCs/>
        </w:rPr>
      </w:pPr>
      <w:r w:rsidRPr="00D52F37">
        <w:rPr>
          <w:rFonts w:ascii="Palatino Linotype" w:hAnsi="Palatino Linotype"/>
          <w:b/>
          <w:bCs/>
        </w:rPr>
        <w:t>2 kap. 7 §:</w:t>
      </w:r>
    </w:p>
    <w:p w:rsidR="00726BF8" w:rsidRDefault="00726BF8" w:rsidP="00D52F37">
      <w:pPr>
        <w:jc w:val="both"/>
        <w:rPr>
          <w:rFonts w:ascii="Palatino Linotype" w:hAnsi="Palatino Linotype"/>
        </w:rPr>
      </w:pPr>
      <w:r w:rsidRPr="00D52F37">
        <w:rPr>
          <w:rFonts w:ascii="Palatino Linotype" w:hAnsi="Palatino Linotype"/>
        </w:rPr>
        <w:t xml:space="preserve">Studenterna har rätt att vara representerade när beslut fattas eller beredning sker som har betydelse för utbildningen eller studenternas situation. Regeringen eller den myndighet som regeringen bestämmer kan med stöd av 8 kap. 7 § regeringsformen meddela föreskrifter om antalet sådana representanter och om hur de ska utses. </w:t>
      </w:r>
    </w:p>
    <w:p w:rsidR="00D52F37" w:rsidRPr="00D52F37" w:rsidRDefault="00D52F37" w:rsidP="00D52F37">
      <w:pPr>
        <w:jc w:val="both"/>
        <w:rPr>
          <w:rFonts w:ascii="Palatino Linotype" w:hAnsi="Palatino Linotype"/>
        </w:rPr>
      </w:pPr>
    </w:p>
    <w:p w:rsidR="00726BF8" w:rsidRPr="00D52F37" w:rsidRDefault="00726BF8" w:rsidP="00D52F37">
      <w:pPr>
        <w:jc w:val="both"/>
        <w:rPr>
          <w:rFonts w:ascii="Palatino Linotype" w:hAnsi="Palatino Linotype"/>
          <w:b/>
          <w:bCs/>
        </w:rPr>
      </w:pPr>
      <w:r w:rsidRPr="00D52F37">
        <w:rPr>
          <w:rFonts w:ascii="Palatino Linotype" w:hAnsi="Palatino Linotype"/>
          <w:b/>
          <w:bCs/>
        </w:rPr>
        <w:t>Högskoleförordningen 2 kap. 14 §:</w:t>
      </w:r>
    </w:p>
    <w:p w:rsidR="00726BF8" w:rsidRPr="00D52F37" w:rsidRDefault="00726BF8" w:rsidP="00D52F37">
      <w:pPr>
        <w:jc w:val="both"/>
        <w:rPr>
          <w:rFonts w:ascii="Palatino Linotype" w:hAnsi="Palatino Linotype"/>
        </w:rPr>
      </w:pPr>
      <w:r w:rsidRPr="00D52F37">
        <w:rPr>
          <w:rFonts w:ascii="Palatino Linotype" w:hAnsi="Palatino Linotype"/>
        </w:rPr>
        <w:t>I 2 kap. 7 § högskolelagen finns det en bestämmelse om studenternas rätt till representation när beslut fattas eller beredning sker.</w:t>
      </w:r>
    </w:p>
    <w:p w:rsidR="00726BF8" w:rsidRPr="0034475D" w:rsidRDefault="00726BF8" w:rsidP="00724516">
      <w:pPr>
        <w:pStyle w:val="Indrag"/>
      </w:pPr>
      <w:r w:rsidRPr="0034475D">
        <w:t>Om beslut ska fattas eller beredning ska genomföras av en enda person, ska information lämnas till och samråd ske med en studentrepresentant i god tid före beslutet eller slutförandet av beredningen.</w:t>
      </w:r>
    </w:p>
    <w:p w:rsidR="00726BF8" w:rsidRDefault="00726BF8" w:rsidP="00724516">
      <w:pPr>
        <w:pStyle w:val="Indrag"/>
      </w:pPr>
      <w:r>
        <w:t>Om beslut ska fattas av en grupp av personer enligt 2 kap. 6 § andra stycket högskolelagen, har studenterna rätt att vara representerade med minst tre ledamöter. Antalet student</w:t>
      </w:r>
      <w:r w:rsidR="00D52F37">
        <w:softHyphen/>
      </w:r>
      <w:r>
        <w:t>representanter i en sådan grupp får dock vara färre om det finns särskilda skäl med hänsyn till det totala antalet ledamöter i gruppen.</w:t>
      </w:r>
    </w:p>
    <w:p w:rsidR="00D52F37" w:rsidRDefault="00D52F37" w:rsidP="00726BF8">
      <w:pPr>
        <w:rPr>
          <w:rFonts w:ascii="Palatino Linotype" w:hAnsi="Palatino Linotype"/>
        </w:rPr>
      </w:pPr>
    </w:p>
    <w:p w:rsidR="00D52F37" w:rsidRDefault="00D52F37" w:rsidP="00726BF8">
      <w:pPr>
        <w:rPr>
          <w:rFonts w:ascii="Palatino Linotype" w:hAnsi="Palatino Linotype"/>
        </w:rPr>
      </w:pPr>
      <w:r w:rsidRPr="00D52F37">
        <w:rPr>
          <w:rFonts w:ascii="Palatino Linotype" w:hAnsi="Palatino Linotype"/>
          <w:b/>
        </w:rPr>
        <w:t>Rutinbeskrivning för dekanens beslutsmöte vid HUV</w:t>
      </w:r>
      <w:r>
        <w:rPr>
          <w:rFonts w:ascii="Palatino Linotype" w:hAnsi="Palatino Linotype"/>
        </w:rPr>
        <w:t>:</w:t>
      </w:r>
    </w:p>
    <w:p w:rsidR="00724516" w:rsidRDefault="00724516" w:rsidP="00724516">
      <w:pPr>
        <w:pStyle w:val="Liststycke"/>
        <w:numPr>
          <w:ilvl w:val="0"/>
          <w:numId w:val="3"/>
        </w:numPr>
        <w:jc w:val="both"/>
        <w:rPr>
          <w:rFonts w:ascii="Palatino Linotype" w:hAnsi="Palatino Linotype"/>
        </w:rPr>
      </w:pPr>
      <w:r>
        <w:rPr>
          <w:rFonts w:ascii="Palatino Linotype" w:hAnsi="Palatino Linotype"/>
        </w:rPr>
        <w:t>En fast dag och tid för dekanens beslutsmöte ska finnas, mötet sker fysiskt eller via telefon/</w:t>
      </w:r>
      <w:proofErr w:type="spellStart"/>
      <w:r>
        <w:rPr>
          <w:rFonts w:ascii="Palatino Linotype" w:hAnsi="Palatino Linotype"/>
        </w:rPr>
        <w:t>skype</w:t>
      </w:r>
      <w:proofErr w:type="spellEnd"/>
      <w:r>
        <w:rPr>
          <w:rFonts w:ascii="Palatino Linotype" w:hAnsi="Palatino Linotype"/>
        </w:rPr>
        <w:t xml:space="preserve">: </w:t>
      </w:r>
      <w:r w:rsidRPr="00F8753F">
        <w:rPr>
          <w:rFonts w:ascii="Palatino Linotype" w:hAnsi="Palatino Linotype"/>
        </w:rPr>
        <w:t xml:space="preserve">varje onsdag kl. </w:t>
      </w:r>
      <w:r w:rsidR="00F8753F" w:rsidRPr="00F8753F">
        <w:rPr>
          <w:rFonts w:ascii="Palatino Linotype" w:hAnsi="Palatino Linotype"/>
        </w:rPr>
        <w:t>11</w:t>
      </w:r>
      <w:r w:rsidRPr="00F8753F">
        <w:rPr>
          <w:rFonts w:ascii="Palatino Linotype" w:hAnsi="Palatino Linotype"/>
        </w:rPr>
        <w:t>:</w:t>
      </w:r>
      <w:r w:rsidR="00F8753F" w:rsidRPr="00F8753F">
        <w:rPr>
          <w:rFonts w:ascii="Palatino Linotype" w:hAnsi="Palatino Linotype"/>
        </w:rPr>
        <w:t>3</w:t>
      </w:r>
      <w:r w:rsidRPr="00F8753F">
        <w:rPr>
          <w:rFonts w:ascii="Palatino Linotype" w:hAnsi="Palatino Linotype"/>
        </w:rPr>
        <w:t>0.</w:t>
      </w:r>
      <w:r>
        <w:rPr>
          <w:rFonts w:ascii="Palatino Linotype" w:hAnsi="Palatino Linotype"/>
        </w:rPr>
        <w:t xml:space="preserve"> Underlag till mötet ska skickas till deltagande (dekan, prodekan och kårer) senast måndag</w:t>
      </w:r>
      <w:r w:rsidR="005B2006">
        <w:rPr>
          <w:rFonts w:ascii="Palatino Linotype" w:hAnsi="Palatino Linotype"/>
        </w:rPr>
        <w:t xml:space="preserve"> samma vecka</w:t>
      </w:r>
      <w:r w:rsidR="00F8753F">
        <w:rPr>
          <w:rFonts w:ascii="Palatino Linotype" w:hAnsi="Palatino Linotype"/>
        </w:rPr>
        <w:t xml:space="preserve"> kl. 16</w:t>
      </w:r>
      <w:r>
        <w:rPr>
          <w:rFonts w:ascii="Palatino Linotype" w:hAnsi="Palatino Linotype"/>
        </w:rPr>
        <w:t xml:space="preserve">:00.  </w:t>
      </w:r>
    </w:p>
    <w:p w:rsidR="00D52F37" w:rsidRDefault="00D52F37" w:rsidP="00724516">
      <w:pPr>
        <w:pStyle w:val="Liststycke"/>
        <w:numPr>
          <w:ilvl w:val="0"/>
          <w:numId w:val="3"/>
        </w:numPr>
        <w:jc w:val="both"/>
        <w:rPr>
          <w:rFonts w:ascii="Palatino Linotype" w:hAnsi="Palatino Linotype"/>
        </w:rPr>
      </w:pPr>
      <w:r>
        <w:rPr>
          <w:rFonts w:ascii="Palatino Linotype" w:hAnsi="Palatino Linotype"/>
        </w:rPr>
        <w:t>Kårerna i Sundsvall och Östersund ska båda ges möjlighet att delta vid dekanens besluts</w:t>
      </w:r>
      <w:r w:rsidR="00724516">
        <w:rPr>
          <w:rFonts w:ascii="Palatino Linotype" w:hAnsi="Palatino Linotype"/>
        </w:rPr>
        <w:softHyphen/>
      </w:r>
      <w:r>
        <w:rPr>
          <w:rFonts w:ascii="Palatino Linotype" w:hAnsi="Palatino Linotype"/>
        </w:rPr>
        <w:t>möten, kårerna avgör vem från resp. kår som deltar och meddelar fakultets</w:t>
      </w:r>
      <w:r w:rsidR="00724516">
        <w:rPr>
          <w:rFonts w:ascii="Palatino Linotype" w:hAnsi="Palatino Linotype"/>
        </w:rPr>
        <w:softHyphen/>
      </w:r>
      <w:r>
        <w:rPr>
          <w:rFonts w:ascii="Palatino Linotype" w:hAnsi="Palatino Linotype"/>
        </w:rPr>
        <w:t xml:space="preserve">kansliet detta med namn, mailadress och telefonnummer. </w:t>
      </w:r>
    </w:p>
    <w:p w:rsidR="00724516" w:rsidRDefault="00724516" w:rsidP="00724516">
      <w:pPr>
        <w:pStyle w:val="Liststycke"/>
        <w:numPr>
          <w:ilvl w:val="0"/>
          <w:numId w:val="3"/>
        </w:numPr>
        <w:jc w:val="both"/>
        <w:rPr>
          <w:rFonts w:ascii="Palatino Linotype" w:hAnsi="Palatino Linotype"/>
        </w:rPr>
      </w:pPr>
      <w:r>
        <w:rPr>
          <w:rFonts w:ascii="Palatino Linotype" w:hAnsi="Palatino Linotype"/>
        </w:rPr>
        <w:t>I undantagsfall ska dekanbeslut</w:t>
      </w:r>
      <w:r w:rsidR="00DD2784">
        <w:rPr>
          <w:rFonts w:ascii="Palatino Linotype" w:hAnsi="Palatino Linotype"/>
        </w:rPr>
        <w:t xml:space="preserve"> </w:t>
      </w:r>
      <w:r>
        <w:rPr>
          <w:rFonts w:ascii="Palatino Linotype" w:hAnsi="Palatino Linotype"/>
        </w:rPr>
        <w:t xml:space="preserve">kunna </w:t>
      </w:r>
      <w:r w:rsidR="00F62634">
        <w:rPr>
          <w:rFonts w:ascii="Palatino Linotype" w:hAnsi="Palatino Linotype"/>
        </w:rPr>
        <w:t>fatta</w:t>
      </w:r>
      <w:r>
        <w:rPr>
          <w:rFonts w:ascii="Palatino Linotype" w:hAnsi="Palatino Linotype"/>
        </w:rPr>
        <w:t>s</w:t>
      </w:r>
      <w:r w:rsidR="00DD2784">
        <w:rPr>
          <w:rStyle w:val="Fotnotsreferens"/>
          <w:rFonts w:ascii="Palatino Linotype" w:hAnsi="Palatino Linotype"/>
        </w:rPr>
        <w:footnoteReference w:id="1"/>
      </w:r>
      <w:r w:rsidR="00DD2784">
        <w:rPr>
          <w:rFonts w:ascii="Palatino Linotype" w:hAnsi="Palatino Linotype"/>
        </w:rPr>
        <w:t xml:space="preserve"> </w:t>
      </w:r>
      <w:r w:rsidR="00DD2784">
        <w:rPr>
          <w:rFonts w:ascii="Palatino Linotype" w:hAnsi="Palatino Linotype"/>
        </w:rPr>
        <w:t xml:space="preserve"> </w:t>
      </w:r>
      <w:r>
        <w:rPr>
          <w:rFonts w:ascii="Palatino Linotype" w:hAnsi="Palatino Linotype"/>
        </w:rPr>
        <w:t xml:space="preserve">vid annan tid än fast beslutsdag, det kan t.ex. handla om </w:t>
      </w:r>
    </w:p>
    <w:p w:rsidR="00724516" w:rsidRDefault="00724516" w:rsidP="00724516">
      <w:pPr>
        <w:pStyle w:val="Liststycke"/>
        <w:numPr>
          <w:ilvl w:val="1"/>
          <w:numId w:val="3"/>
        </w:numPr>
        <w:jc w:val="both"/>
        <w:rPr>
          <w:rFonts w:ascii="Palatino Linotype" w:hAnsi="Palatino Linotype"/>
        </w:rPr>
      </w:pPr>
      <w:r>
        <w:rPr>
          <w:rFonts w:ascii="Palatino Linotype" w:hAnsi="Palatino Linotype"/>
        </w:rPr>
        <w:t>ärenden där brådskande beslut</w:t>
      </w:r>
      <w:bookmarkStart w:id="0" w:name="_GoBack"/>
      <w:bookmarkEnd w:id="0"/>
      <w:r>
        <w:rPr>
          <w:rFonts w:ascii="Palatino Linotype" w:hAnsi="Palatino Linotype"/>
        </w:rPr>
        <w:t xml:space="preserve"> krävs. Kårerna meddelas om detta </w:t>
      </w:r>
      <w:proofErr w:type="spellStart"/>
      <w:r>
        <w:rPr>
          <w:rFonts w:ascii="Palatino Linotype" w:hAnsi="Palatino Linotype"/>
        </w:rPr>
        <w:t>mailledes</w:t>
      </w:r>
      <w:proofErr w:type="spellEnd"/>
      <w:r>
        <w:rPr>
          <w:rFonts w:ascii="Palatino Linotype" w:hAnsi="Palatino Linotype"/>
        </w:rPr>
        <w:t xml:space="preserve"> och ges möjlighet att svara inom 72 timmar (3 dagar)</w:t>
      </w:r>
    </w:p>
    <w:p w:rsidR="00724516" w:rsidRDefault="00724516" w:rsidP="00724516">
      <w:pPr>
        <w:pStyle w:val="Liststycke"/>
        <w:numPr>
          <w:ilvl w:val="1"/>
          <w:numId w:val="3"/>
        </w:numPr>
        <w:jc w:val="both"/>
        <w:rPr>
          <w:rFonts w:ascii="Palatino Linotype" w:hAnsi="Palatino Linotype"/>
        </w:rPr>
      </w:pPr>
      <w:r>
        <w:rPr>
          <w:rFonts w:ascii="Palatino Linotype" w:hAnsi="Palatino Linotype"/>
        </w:rPr>
        <w:t>ärenden som har beretts i organ där studenter varit delaktiga. Det rör t.ex. anställnings</w:t>
      </w:r>
      <w:r>
        <w:rPr>
          <w:rFonts w:ascii="Palatino Linotype" w:hAnsi="Palatino Linotype"/>
        </w:rPr>
        <w:softHyphen/>
        <w:t>ärenden där Anställningsrådet har hanterat ärendet fram till dekanbeslut,</w:t>
      </w:r>
    </w:p>
    <w:p w:rsidR="00724516" w:rsidRPr="00F62634" w:rsidRDefault="00724516" w:rsidP="000F0B90">
      <w:pPr>
        <w:pStyle w:val="Liststycke"/>
        <w:numPr>
          <w:ilvl w:val="1"/>
          <w:numId w:val="3"/>
        </w:numPr>
        <w:jc w:val="both"/>
        <w:rPr>
          <w:rFonts w:ascii="Palatino Linotype" w:hAnsi="Palatino Linotype"/>
        </w:rPr>
      </w:pPr>
      <w:r w:rsidRPr="00F62634">
        <w:rPr>
          <w:rFonts w:ascii="Palatino Linotype" w:hAnsi="Palatino Linotype"/>
        </w:rPr>
        <w:t>ärenden som inte omfattas av HL 2:7. Det kan t.ex. röra utseende av referens</w:t>
      </w:r>
      <w:r w:rsidRPr="00F62634">
        <w:rPr>
          <w:rFonts w:ascii="Palatino Linotype" w:hAnsi="Palatino Linotype"/>
        </w:rPr>
        <w:softHyphen/>
        <w:t xml:space="preserve">grupper för centrumbildningar.   </w:t>
      </w:r>
    </w:p>
    <w:sectPr w:rsidR="00724516" w:rsidRPr="00F626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34" w:rsidRDefault="00F62634" w:rsidP="00F62634">
      <w:r>
        <w:separator/>
      </w:r>
    </w:p>
  </w:endnote>
  <w:endnote w:type="continuationSeparator" w:id="0">
    <w:p w:rsidR="00F62634" w:rsidRDefault="00F62634" w:rsidP="00F6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34" w:rsidRDefault="00F62634" w:rsidP="00F62634">
      <w:r>
        <w:separator/>
      </w:r>
    </w:p>
  </w:footnote>
  <w:footnote w:type="continuationSeparator" w:id="0">
    <w:p w:rsidR="00F62634" w:rsidRDefault="00F62634" w:rsidP="00F62634">
      <w:r>
        <w:continuationSeparator/>
      </w:r>
    </w:p>
  </w:footnote>
  <w:footnote w:id="1">
    <w:p w:rsidR="00DD2784" w:rsidRDefault="00DD2784" w:rsidP="00DD2784">
      <w:pPr>
        <w:pStyle w:val="Fotnotstext"/>
      </w:pPr>
      <w:r>
        <w:rPr>
          <w:rStyle w:val="Fotnotsreferens"/>
        </w:rPr>
        <w:footnoteRef/>
      </w:r>
      <w:r>
        <w:t xml:space="preserve"> </w:t>
      </w:r>
      <w:r w:rsidRPr="00F62634">
        <w:rPr>
          <w:rFonts w:ascii="Palatino Linotype" w:hAnsi="Palatino Linotype"/>
          <w:sz w:val="16"/>
          <w:szCs w:val="16"/>
        </w:rPr>
        <w:t xml:space="preserve">Om beslut fattas mellan beslutsmöten ska </w:t>
      </w:r>
      <w:r>
        <w:rPr>
          <w:rFonts w:ascii="Palatino Linotype" w:hAnsi="Palatino Linotype"/>
          <w:sz w:val="16"/>
          <w:szCs w:val="16"/>
        </w:rPr>
        <w:t xml:space="preserve">information om </w:t>
      </w:r>
      <w:r w:rsidRPr="00F62634">
        <w:rPr>
          <w:rFonts w:ascii="Palatino Linotype" w:hAnsi="Palatino Linotype"/>
          <w:sz w:val="16"/>
          <w:szCs w:val="16"/>
        </w:rPr>
        <w:t>dessa delges vid nästkommande beslutsmöte</w:t>
      </w:r>
      <w:r>
        <w:rPr>
          <w:rFonts w:ascii="Palatino Linotype" w:hAnsi="Palatino Linotype"/>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733E"/>
    <w:multiLevelType w:val="hybridMultilevel"/>
    <w:tmpl w:val="E9142C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0962E1"/>
    <w:multiLevelType w:val="hybridMultilevel"/>
    <w:tmpl w:val="FD74FCD0"/>
    <w:lvl w:ilvl="0" w:tplc="05587774">
      <w:start w:val="1"/>
      <w:numFmt w:val="decimal"/>
      <w:lvlText w:val="%1."/>
      <w:lvlJc w:val="left"/>
      <w:pPr>
        <w:ind w:left="525" w:hanging="360"/>
      </w:pPr>
      <w:rPr>
        <w:rFonts w:hint="default"/>
      </w:rPr>
    </w:lvl>
    <w:lvl w:ilvl="1" w:tplc="041D0019" w:tentative="1">
      <w:start w:val="1"/>
      <w:numFmt w:val="lowerLetter"/>
      <w:lvlText w:val="%2."/>
      <w:lvlJc w:val="left"/>
      <w:pPr>
        <w:ind w:left="1245" w:hanging="360"/>
      </w:pPr>
    </w:lvl>
    <w:lvl w:ilvl="2" w:tplc="041D001B" w:tentative="1">
      <w:start w:val="1"/>
      <w:numFmt w:val="lowerRoman"/>
      <w:lvlText w:val="%3."/>
      <w:lvlJc w:val="right"/>
      <w:pPr>
        <w:ind w:left="1965" w:hanging="180"/>
      </w:pPr>
    </w:lvl>
    <w:lvl w:ilvl="3" w:tplc="041D000F" w:tentative="1">
      <w:start w:val="1"/>
      <w:numFmt w:val="decimal"/>
      <w:lvlText w:val="%4."/>
      <w:lvlJc w:val="left"/>
      <w:pPr>
        <w:ind w:left="2685" w:hanging="360"/>
      </w:pPr>
    </w:lvl>
    <w:lvl w:ilvl="4" w:tplc="041D0019" w:tentative="1">
      <w:start w:val="1"/>
      <w:numFmt w:val="lowerLetter"/>
      <w:lvlText w:val="%5."/>
      <w:lvlJc w:val="left"/>
      <w:pPr>
        <w:ind w:left="3405" w:hanging="360"/>
      </w:pPr>
    </w:lvl>
    <w:lvl w:ilvl="5" w:tplc="041D001B" w:tentative="1">
      <w:start w:val="1"/>
      <w:numFmt w:val="lowerRoman"/>
      <w:lvlText w:val="%6."/>
      <w:lvlJc w:val="right"/>
      <w:pPr>
        <w:ind w:left="4125" w:hanging="180"/>
      </w:pPr>
    </w:lvl>
    <w:lvl w:ilvl="6" w:tplc="041D000F" w:tentative="1">
      <w:start w:val="1"/>
      <w:numFmt w:val="decimal"/>
      <w:lvlText w:val="%7."/>
      <w:lvlJc w:val="left"/>
      <w:pPr>
        <w:ind w:left="4845" w:hanging="360"/>
      </w:pPr>
    </w:lvl>
    <w:lvl w:ilvl="7" w:tplc="041D0019" w:tentative="1">
      <w:start w:val="1"/>
      <w:numFmt w:val="lowerLetter"/>
      <w:lvlText w:val="%8."/>
      <w:lvlJc w:val="left"/>
      <w:pPr>
        <w:ind w:left="5565" w:hanging="360"/>
      </w:pPr>
    </w:lvl>
    <w:lvl w:ilvl="8" w:tplc="041D001B" w:tentative="1">
      <w:start w:val="1"/>
      <w:numFmt w:val="lowerRoman"/>
      <w:lvlText w:val="%9."/>
      <w:lvlJc w:val="right"/>
      <w:pPr>
        <w:ind w:left="6285" w:hanging="180"/>
      </w:pPr>
    </w:lvl>
  </w:abstractNum>
  <w:abstractNum w:abstractNumId="2" w15:restartNumberingAfterBreak="0">
    <w:nsid w:val="3E1A2D8E"/>
    <w:multiLevelType w:val="hybridMultilevel"/>
    <w:tmpl w:val="C7D008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F8"/>
    <w:rsid w:val="00084FC4"/>
    <w:rsid w:val="0019658F"/>
    <w:rsid w:val="002B5563"/>
    <w:rsid w:val="0034475D"/>
    <w:rsid w:val="004C6F01"/>
    <w:rsid w:val="005A6408"/>
    <w:rsid w:val="005B2006"/>
    <w:rsid w:val="00604AFF"/>
    <w:rsid w:val="006F19BE"/>
    <w:rsid w:val="00724516"/>
    <w:rsid w:val="00726BF8"/>
    <w:rsid w:val="007E7085"/>
    <w:rsid w:val="00CD0CD1"/>
    <w:rsid w:val="00D52F37"/>
    <w:rsid w:val="00DA4B22"/>
    <w:rsid w:val="00DD2784"/>
    <w:rsid w:val="00E343B8"/>
    <w:rsid w:val="00E57997"/>
    <w:rsid w:val="00EB2671"/>
    <w:rsid w:val="00F62634"/>
    <w:rsid w:val="00F875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1167"/>
  <w15:chartTrackingRefBased/>
  <w15:docId w15:val="{93C16BE5-8131-4218-9727-EC756A99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BF8"/>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6BF8"/>
    <w:pPr>
      <w:ind w:left="720"/>
      <w:contextualSpacing/>
    </w:pPr>
  </w:style>
  <w:style w:type="paragraph" w:styleId="Normalwebb">
    <w:name w:val="Normal (Web)"/>
    <w:basedOn w:val="Normal"/>
    <w:uiPriority w:val="99"/>
    <w:semiHidden/>
    <w:unhideWhenUsed/>
    <w:rsid w:val="00D52F37"/>
    <w:pPr>
      <w:spacing w:before="100" w:beforeAutospacing="1" w:after="100" w:afterAutospacing="1"/>
    </w:pPr>
    <w:rPr>
      <w:rFonts w:ascii="Times New Roman" w:eastAsia="Times New Roman" w:hAnsi="Times New Roman"/>
      <w:sz w:val="24"/>
      <w:szCs w:val="24"/>
      <w:lang w:eastAsia="sv-SE"/>
    </w:rPr>
  </w:style>
  <w:style w:type="paragraph" w:customStyle="1" w:styleId="Indrag">
    <w:name w:val="Indrag"/>
    <w:basedOn w:val="Normal"/>
    <w:qFormat/>
    <w:rsid w:val="00724516"/>
    <w:pPr>
      <w:ind w:firstLine="284"/>
      <w:jc w:val="both"/>
    </w:pPr>
    <w:rPr>
      <w:rFonts w:ascii="Palatino Linotype" w:hAnsi="Palatino Linotype"/>
    </w:rPr>
  </w:style>
  <w:style w:type="paragraph" w:styleId="Fotnotstext">
    <w:name w:val="footnote text"/>
    <w:basedOn w:val="Normal"/>
    <w:link w:val="FotnotstextChar"/>
    <w:uiPriority w:val="99"/>
    <w:semiHidden/>
    <w:unhideWhenUsed/>
    <w:rsid w:val="00F62634"/>
    <w:rPr>
      <w:sz w:val="20"/>
      <w:szCs w:val="20"/>
    </w:rPr>
  </w:style>
  <w:style w:type="character" w:customStyle="1" w:styleId="FotnotstextChar">
    <w:name w:val="Fotnotstext Char"/>
    <w:basedOn w:val="Standardstycketeckensnitt"/>
    <w:link w:val="Fotnotstext"/>
    <w:uiPriority w:val="99"/>
    <w:semiHidden/>
    <w:rsid w:val="00F62634"/>
    <w:rPr>
      <w:rFonts w:ascii="Calibri" w:hAnsi="Calibri" w:cs="Times New Roman"/>
      <w:sz w:val="20"/>
      <w:szCs w:val="20"/>
    </w:rPr>
  </w:style>
  <w:style w:type="character" w:styleId="Fotnotsreferens">
    <w:name w:val="footnote reference"/>
    <w:basedOn w:val="Standardstycketeckensnitt"/>
    <w:uiPriority w:val="99"/>
    <w:semiHidden/>
    <w:unhideWhenUsed/>
    <w:rsid w:val="00F626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060061">
      <w:bodyDiv w:val="1"/>
      <w:marLeft w:val="0"/>
      <w:marRight w:val="0"/>
      <w:marTop w:val="0"/>
      <w:marBottom w:val="0"/>
      <w:divBdr>
        <w:top w:val="none" w:sz="0" w:space="0" w:color="auto"/>
        <w:left w:val="none" w:sz="0" w:space="0" w:color="auto"/>
        <w:bottom w:val="none" w:sz="0" w:space="0" w:color="auto"/>
        <w:right w:val="none" w:sz="0" w:space="0" w:color="auto"/>
      </w:divBdr>
      <w:divsChild>
        <w:div w:id="286132269">
          <w:marLeft w:val="0"/>
          <w:marRight w:val="0"/>
          <w:marTop w:val="0"/>
          <w:marBottom w:val="0"/>
          <w:divBdr>
            <w:top w:val="none" w:sz="0" w:space="0" w:color="auto"/>
            <w:left w:val="none" w:sz="0" w:space="0" w:color="auto"/>
            <w:bottom w:val="none" w:sz="0" w:space="0" w:color="auto"/>
            <w:right w:val="none" w:sz="0" w:space="0" w:color="auto"/>
          </w:divBdr>
          <w:divsChild>
            <w:div w:id="212080632">
              <w:marLeft w:val="0"/>
              <w:marRight w:val="0"/>
              <w:marTop w:val="0"/>
              <w:marBottom w:val="0"/>
              <w:divBdr>
                <w:top w:val="none" w:sz="0" w:space="0" w:color="auto"/>
                <w:left w:val="none" w:sz="0" w:space="0" w:color="auto"/>
                <w:bottom w:val="none" w:sz="0" w:space="0" w:color="auto"/>
                <w:right w:val="none" w:sz="0" w:space="0" w:color="auto"/>
              </w:divBdr>
              <w:divsChild>
                <w:div w:id="1258515170">
                  <w:marLeft w:val="0"/>
                  <w:marRight w:val="0"/>
                  <w:marTop w:val="0"/>
                  <w:marBottom w:val="0"/>
                  <w:divBdr>
                    <w:top w:val="none" w:sz="0" w:space="0" w:color="auto"/>
                    <w:left w:val="none" w:sz="0" w:space="0" w:color="auto"/>
                    <w:bottom w:val="none" w:sz="0" w:space="0" w:color="auto"/>
                    <w:right w:val="none" w:sz="0" w:space="0" w:color="auto"/>
                  </w:divBdr>
                  <w:divsChild>
                    <w:div w:id="439760021">
                      <w:marLeft w:val="0"/>
                      <w:marRight w:val="0"/>
                      <w:marTop w:val="0"/>
                      <w:marBottom w:val="0"/>
                      <w:divBdr>
                        <w:top w:val="none" w:sz="0" w:space="0" w:color="auto"/>
                        <w:left w:val="none" w:sz="0" w:space="0" w:color="auto"/>
                        <w:bottom w:val="none" w:sz="0" w:space="0" w:color="auto"/>
                        <w:right w:val="none" w:sz="0" w:space="0" w:color="auto"/>
                      </w:divBdr>
                      <w:divsChild>
                        <w:div w:id="290862641">
                          <w:marLeft w:val="0"/>
                          <w:marRight w:val="0"/>
                          <w:marTop w:val="0"/>
                          <w:marBottom w:val="0"/>
                          <w:divBdr>
                            <w:top w:val="none" w:sz="0" w:space="0" w:color="auto"/>
                            <w:left w:val="none" w:sz="0" w:space="0" w:color="auto"/>
                            <w:bottom w:val="none" w:sz="0" w:space="0" w:color="auto"/>
                            <w:right w:val="none" w:sz="0" w:space="0" w:color="auto"/>
                          </w:divBdr>
                          <w:divsChild>
                            <w:div w:id="52390756">
                              <w:marLeft w:val="0"/>
                              <w:marRight w:val="0"/>
                              <w:marTop w:val="0"/>
                              <w:marBottom w:val="0"/>
                              <w:divBdr>
                                <w:top w:val="none" w:sz="0" w:space="0" w:color="auto"/>
                                <w:left w:val="none" w:sz="0" w:space="0" w:color="auto"/>
                                <w:bottom w:val="none" w:sz="0" w:space="0" w:color="auto"/>
                                <w:right w:val="none" w:sz="0" w:space="0" w:color="auto"/>
                              </w:divBdr>
                              <w:divsChild>
                                <w:div w:id="16759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DD992-6D1B-4822-AA50-6FCEAEBE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2262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Karin</dc:creator>
  <cp:keywords/>
  <dc:description/>
  <cp:lastModifiedBy>Olsson Karin</cp:lastModifiedBy>
  <cp:revision>2</cp:revision>
  <dcterms:created xsi:type="dcterms:W3CDTF">2018-12-19T15:47:00Z</dcterms:created>
  <dcterms:modified xsi:type="dcterms:W3CDTF">2018-12-19T15:47:00Z</dcterms:modified>
</cp:coreProperties>
</file>